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65" w:rsidRPr="000021C4" w:rsidRDefault="000021C4" w:rsidP="006F0E65">
      <w:pPr>
        <w:jc w:val="center"/>
        <w:rPr>
          <w:rFonts w:ascii="新宋体" w:eastAsia="新宋体" w:hAnsi="新宋体"/>
          <w:b/>
          <w:sz w:val="44"/>
          <w:szCs w:val="44"/>
          <w:lang w:eastAsia="zh-CN"/>
        </w:rPr>
      </w:pPr>
      <w:r w:rsidRPr="000021C4">
        <w:rPr>
          <w:rFonts w:ascii="新宋体" w:eastAsia="新宋体" w:hAnsi="新宋体" w:hint="eastAsia"/>
          <w:b/>
          <w:sz w:val="44"/>
          <w:szCs w:val="44"/>
          <w:lang w:eastAsia="zh-CN"/>
        </w:rPr>
        <w:t>上海建筑科技</w:t>
      </w:r>
      <w:r w:rsidR="00FC145C">
        <w:rPr>
          <w:rFonts w:ascii="新宋体" w:eastAsia="新宋体" w:hAnsi="新宋体" w:hint="eastAsia"/>
          <w:b/>
          <w:sz w:val="44"/>
          <w:szCs w:val="44"/>
          <w:lang w:eastAsia="zh-CN"/>
        </w:rPr>
        <w:t>产业园</w:t>
      </w:r>
      <w:r w:rsidRPr="000021C4">
        <w:rPr>
          <w:rFonts w:ascii="新宋体" w:eastAsia="新宋体" w:hAnsi="新宋体" w:hint="eastAsia"/>
          <w:b/>
          <w:sz w:val="44"/>
          <w:szCs w:val="44"/>
          <w:lang w:eastAsia="zh-CN"/>
        </w:rPr>
        <w:t>一期办公楼租赁合同</w:t>
      </w:r>
    </w:p>
    <w:p w:rsidR="006F0E65" w:rsidRPr="006F0E65" w:rsidRDefault="006F0E65" w:rsidP="006F0E65">
      <w:pPr>
        <w:jc w:val="center"/>
        <w:rPr>
          <w:rFonts w:ascii="新宋体" w:eastAsia="新宋体" w:hAnsi="新宋体"/>
          <w:b/>
          <w:sz w:val="44"/>
          <w:szCs w:val="44"/>
          <w:lang w:eastAsia="zh-CN"/>
        </w:rPr>
      </w:pP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出租方：</w:t>
      </w:r>
      <w:r w:rsidR="000021C4">
        <w:rPr>
          <w:rFonts w:ascii="新宋体" w:eastAsia="新宋体" w:hAnsi="新宋体" w:hint="eastAsia"/>
          <w:sz w:val="24"/>
          <w:szCs w:val="24"/>
          <w:u w:val="single"/>
          <w:lang w:eastAsia="zh-CN"/>
        </w:rPr>
        <w:t>________________________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（以下简称甲方）</w:t>
      </w: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承租方：_________________________(以下简称乙方）执照和法人身份证复印件附后</w:t>
      </w: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依据《中华人民共和国合同法》及有关法律、法规的规定，甲、乙双方就房屋租赁事宜，经友好协商，签订本合同。</w:t>
      </w: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1、地址、租期：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 xml:space="preserve"> 甲方同意将位于</w:t>
      </w:r>
      <w:proofErr w:type="gramStart"/>
      <w:r w:rsidR="000021C4">
        <w:rPr>
          <w:rFonts w:ascii="新宋体" w:eastAsia="新宋体" w:hAnsi="新宋体" w:hint="eastAsia"/>
          <w:sz w:val="24"/>
          <w:szCs w:val="24"/>
          <w:lang w:eastAsia="zh-CN"/>
        </w:rPr>
        <w:t>蕴</w:t>
      </w:r>
      <w:proofErr w:type="gramEnd"/>
      <w:r w:rsidR="000021C4">
        <w:rPr>
          <w:rFonts w:ascii="新宋体" w:eastAsia="新宋体" w:hAnsi="新宋体" w:hint="eastAsia"/>
          <w:sz w:val="24"/>
          <w:szCs w:val="24"/>
          <w:lang w:eastAsia="zh-CN"/>
        </w:rPr>
        <w:t>川路2000号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________室、面积为_______平方米（含公共面积），出租给乙方作为______用途。自_____年__月__日起租至_____年__月__日止，租期___年。</w:t>
      </w: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2、租金、押金：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租金按每天每</w:t>
      </w:r>
      <w:proofErr w:type="gramStart"/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平米______</w:t>
      </w:r>
      <w:proofErr w:type="gramEnd"/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元人民币计算，每月租金为（大写）______________元，（不包括其他费），支付方式为押</w:t>
      </w:r>
      <w:r w:rsidRPr="00756591">
        <w:rPr>
          <w:rFonts w:ascii="新宋体" w:eastAsia="新宋体" w:hAnsi="新宋体" w:hint="eastAsia"/>
          <w:sz w:val="24"/>
          <w:szCs w:val="24"/>
          <w:u w:val="single"/>
          <w:lang w:eastAsia="zh-CN"/>
        </w:rPr>
        <w:t>1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付</w:t>
      </w:r>
      <w:r w:rsidRPr="00756591">
        <w:rPr>
          <w:rFonts w:ascii="新宋体" w:eastAsia="新宋体" w:hAnsi="新宋体" w:hint="eastAsia"/>
          <w:sz w:val="24"/>
          <w:szCs w:val="24"/>
          <w:u w:val="single"/>
          <w:lang w:eastAsia="zh-CN"/>
        </w:rPr>
        <w:t>3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，先付后用，于月</w:t>
      </w:r>
      <w:proofErr w:type="gramStart"/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满租日</w:t>
      </w:r>
      <w:proofErr w:type="gramEnd"/>
      <w:r w:rsidRPr="00756591">
        <w:rPr>
          <w:rFonts w:ascii="新宋体" w:eastAsia="新宋体" w:hAnsi="新宋体" w:hint="eastAsia"/>
          <w:sz w:val="24"/>
          <w:szCs w:val="24"/>
          <w:u w:val="single"/>
          <w:lang w:eastAsia="zh-CN"/>
        </w:rPr>
        <w:t>7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天前支付下</w:t>
      </w:r>
      <w:r w:rsidRPr="00756591">
        <w:rPr>
          <w:rFonts w:ascii="新宋体" w:eastAsia="新宋体" w:hAnsi="新宋体" w:hint="eastAsia"/>
          <w:sz w:val="24"/>
          <w:szCs w:val="24"/>
          <w:u w:val="single"/>
          <w:lang w:eastAsia="zh-CN"/>
        </w:rPr>
        <w:t>3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个月租金，逾期乙方按日租金的千分之五支付违约金；乙方可选择现金、支票或直接汇至甲方指定银行</w:t>
      </w:r>
      <w:proofErr w:type="gramStart"/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帐户</w:t>
      </w:r>
      <w:proofErr w:type="gramEnd"/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 xml:space="preserve">方式支付。   </w:t>
      </w:r>
    </w:p>
    <w:p w:rsidR="00D95C4D" w:rsidRDefault="005C6289" w:rsidP="006F0E65">
      <w:pPr>
        <w:ind w:firstLine="0"/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 xml:space="preserve">银行账户：  </w:t>
      </w:r>
      <w:r w:rsidR="00D95C4D">
        <w:rPr>
          <w:rFonts w:ascii="新宋体" w:eastAsia="新宋体" w:hAnsi="新宋体" w:hint="eastAsia"/>
          <w:sz w:val="24"/>
          <w:szCs w:val="24"/>
          <w:lang w:eastAsia="zh-CN"/>
        </w:rPr>
        <w:t xml:space="preserve">                  </w:t>
      </w:r>
      <w:r w:rsidR="000021C4">
        <w:rPr>
          <w:rFonts w:ascii="新宋体" w:eastAsia="新宋体" w:hAnsi="新宋体" w:hint="eastAsia"/>
          <w:sz w:val="24"/>
          <w:szCs w:val="24"/>
          <w:lang w:eastAsia="zh-CN"/>
        </w:rPr>
        <w:t xml:space="preserve">                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开户银行：</w:t>
      </w:r>
      <w:r w:rsidR="00D95C4D">
        <w:rPr>
          <w:rFonts w:ascii="新宋体" w:eastAsia="新宋体" w:hAnsi="新宋体" w:hint="eastAsia"/>
          <w:sz w:val="24"/>
          <w:szCs w:val="24"/>
          <w:lang w:eastAsia="zh-CN"/>
        </w:rPr>
        <w:t xml:space="preserve">   </w:t>
      </w:r>
    </w:p>
    <w:p w:rsidR="006F0E65" w:rsidRPr="00756591" w:rsidRDefault="005C6289" w:rsidP="006F0E65">
      <w:pPr>
        <w:ind w:firstLine="0"/>
        <w:rPr>
          <w:rFonts w:ascii="新宋体" w:eastAsia="新宋体" w:hAnsi="新宋体"/>
          <w:sz w:val="24"/>
          <w:szCs w:val="24"/>
          <w:lang w:eastAsia="zh-CN"/>
        </w:rPr>
      </w:pPr>
      <w:proofErr w:type="gramStart"/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帐号</w:t>
      </w:r>
      <w:proofErr w:type="gramEnd"/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：</w:t>
      </w:r>
      <w:r w:rsidR="000021C4">
        <w:rPr>
          <w:rFonts w:ascii="新宋体" w:eastAsia="新宋体" w:hAnsi="新宋体" w:hint="eastAsia"/>
          <w:sz w:val="24"/>
          <w:szCs w:val="24"/>
          <w:lang w:eastAsia="zh-CN"/>
        </w:rPr>
        <w:t xml:space="preserve">            </w:t>
      </w:r>
      <w:r w:rsidR="00C921B2">
        <w:rPr>
          <w:rFonts w:ascii="新宋体" w:eastAsia="新宋体" w:hAnsi="新宋体" w:hint="eastAsia"/>
          <w:sz w:val="24"/>
          <w:szCs w:val="24"/>
          <w:lang w:eastAsia="zh-CN"/>
        </w:rPr>
        <w:t>。</w:t>
      </w:r>
      <w:r w:rsidR="000021C4">
        <w:rPr>
          <w:rFonts w:ascii="新宋体" w:eastAsia="新宋体" w:hAnsi="新宋体" w:hint="eastAsia"/>
          <w:sz w:val="24"/>
          <w:szCs w:val="24"/>
          <w:lang w:eastAsia="zh-CN"/>
        </w:rPr>
        <w:t xml:space="preserve"> 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押金（大写）</w:t>
      </w:r>
      <w:r w:rsidR="00C921B2">
        <w:rPr>
          <w:rFonts w:ascii="新宋体" w:eastAsia="新宋体" w:hAnsi="新宋体" w:hint="eastAsia"/>
          <w:sz w:val="24"/>
          <w:szCs w:val="24"/>
          <w:lang w:eastAsia="zh-CN"/>
        </w:rPr>
        <w:t>__________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元</w:t>
      </w:r>
      <w:r w:rsidR="00C921B2">
        <w:rPr>
          <w:rFonts w:ascii="新宋体" w:eastAsia="新宋体" w:hAnsi="新宋体" w:hint="eastAsia"/>
          <w:sz w:val="24"/>
          <w:szCs w:val="24"/>
          <w:lang w:eastAsia="zh-CN"/>
        </w:rPr>
        <w:t>，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是乙方向甲方交付的保证金。如有违约，甲方可按双方约定扣留全部或部分押金；如押金不足以弥补甲方损失，乙方应按约定另行赔付。</w:t>
      </w:r>
    </w:p>
    <w:p w:rsidR="00D95C4D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3、其它费用：</w:t>
      </w:r>
      <w:r w:rsidR="002673A4">
        <w:rPr>
          <w:rFonts w:ascii="新宋体" w:eastAsia="新宋体" w:hAnsi="新宋体" w:hint="eastAsia"/>
          <w:sz w:val="24"/>
          <w:szCs w:val="24"/>
          <w:lang w:eastAsia="zh-CN"/>
        </w:rPr>
        <w:t>公共部位</w:t>
      </w:r>
      <w:r w:rsidR="00C921B2">
        <w:rPr>
          <w:rFonts w:ascii="新宋体" w:eastAsia="新宋体" w:hAnsi="新宋体" w:hint="eastAsia"/>
          <w:sz w:val="24"/>
          <w:szCs w:val="24"/>
          <w:lang w:eastAsia="zh-CN"/>
        </w:rPr>
        <w:t>、设施</w:t>
      </w:r>
      <w:r w:rsidR="002673A4">
        <w:rPr>
          <w:rFonts w:ascii="新宋体" w:eastAsia="新宋体" w:hAnsi="新宋体" w:hint="eastAsia"/>
          <w:sz w:val="24"/>
          <w:szCs w:val="24"/>
          <w:lang w:eastAsia="zh-CN"/>
        </w:rPr>
        <w:t>费用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每月每平方米__________元计算，每三个月交付一次</w:t>
      </w:r>
      <w:r w:rsidR="00C921B2">
        <w:rPr>
          <w:rFonts w:ascii="新宋体" w:eastAsia="新宋体" w:hAnsi="新宋体" w:hint="eastAsia"/>
          <w:sz w:val="24"/>
          <w:szCs w:val="24"/>
          <w:lang w:eastAsia="zh-CN"/>
        </w:rPr>
        <w:t>，</w:t>
      </w: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共计_________元。承租期内使用房屋所产生的相关费用均由乙方承担（水费、电费、燃气费、通讯费、停车费、其它：）；按物业管理机构提供的交费通知单按时交付。</w:t>
      </w:r>
    </w:p>
    <w:p w:rsidR="000021C4" w:rsidRPr="000021C4" w:rsidRDefault="000021C4" w:rsidP="000021C4">
      <w:pPr>
        <w:spacing w:line="330" w:lineRule="exact"/>
        <w:rPr>
          <w:szCs w:val="21"/>
          <w:lang w:eastAsia="zh-CN"/>
        </w:rPr>
      </w:pPr>
      <w:r w:rsidRPr="000C2DA8">
        <w:rPr>
          <w:rFonts w:hint="eastAsia"/>
          <w:b/>
          <w:szCs w:val="21"/>
          <w:lang w:eastAsia="zh-CN"/>
        </w:rPr>
        <w:t>4</w:t>
      </w:r>
      <w:r w:rsidRPr="000C2DA8">
        <w:rPr>
          <w:rFonts w:hint="eastAsia"/>
          <w:b/>
          <w:szCs w:val="21"/>
          <w:lang w:eastAsia="zh-CN"/>
        </w:rPr>
        <w:t>、纳税标准：</w:t>
      </w:r>
      <w:r w:rsidRPr="000C2DA8">
        <w:rPr>
          <w:rFonts w:hint="eastAsia"/>
          <w:szCs w:val="21"/>
          <w:lang w:eastAsia="zh-CN"/>
        </w:rPr>
        <w:t>按照地方政府</w:t>
      </w:r>
      <w:r>
        <w:rPr>
          <w:rFonts w:hint="eastAsia"/>
          <w:szCs w:val="21"/>
          <w:lang w:eastAsia="zh-CN"/>
        </w:rPr>
        <w:t>有关税收</w:t>
      </w:r>
      <w:r w:rsidRPr="000C2DA8">
        <w:rPr>
          <w:rFonts w:hint="eastAsia"/>
          <w:szCs w:val="21"/>
          <w:lang w:eastAsia="zh-CN"/>
        </w:rPr>
        <w:t>政策规定，乙方</w:t>
      </w:r>
      <w:proofErr w:type="gramStart"/>
      <w:r w:rsidRPr="000C2DA8">
        <w:rPr>
          <w:rFonts w:hint="eastAsia"/>
          <w:szCs w:val="21"/>
          <w:lang w:eastAsia="zh-CN"/>
        </w:rPr>
        <w:t>按租面积</w:t>
      </w:r>
      <w:proofErr w:type="gramEnd"/>
      <w:r w:rsidRPr="000C2DA8">
        <w:rPr>
          <w:rFonts w:hint="eastAsia"/>
          <w:szCs w:val="21"/>
          <w:lang w:eastAsia="zh-CN"/>
        </w:rPr>
        <w:t>每平米每月</w:t>
      </w:r>
      <w:r w:rsidRPr="000C2DA8">
        <w:rPr>
          <w:rFonts w:hint="eastAsia"/>
          <w:szCs w:val="21"/>
          <w:lang w:eastAsia="zh-CN"/>
        </w:rPr>
        <w:t>_______</w:t>
      </w:r>
      <w:r w:rsidRPr="000C2DA8">
        <w:rPr>
          <w:rFonts w:hint="eastAsia"/>
          <w:szCs w:val="21"/>
          <w:lang w:eastAsia="zh-CN"/>
        </w:rPr>
        <w:t>元缴纳税费，如期完成的全额享受政策退税。不能完成的按</w:t>
      </w:r>
      <w:r>
        <w:rPr>
          <w:rFonts w:hint="eastAsia"/>
          <w:szCs w:val="21"/>
          <w:lang w:eastAsia="zh-CN"/>
        </w:rPr>
        <w:t>应交的差额</w:t>
      </w:r>
      <w:r w:rsidRPr="000C2DA8">
        <w:rPr>
          <w:rFonts w:hint="eastAsia"/>
          <w:szCs w:val="21"/>
          <w:lang w:eastAsia="zh-CN"/>
        </w:rPr>
        <w:t>_______</w:t>
      </w:r>
      <w:r w:rsidRPr="000C2DA8">
        <w:rPr>
          <w:rFonts w:hint="eastAsia"/>
          <w:szCs w:val="21"/>
          <w:lang w:eastAsia="zh-CN"/>
        </w:rPr>
        <w:t>罚交给甲方。</w:t>
      </w:r>
    </w:p>
    <w:p w:rsidR="006F0E65" w:rsidRPr="00756591" w:rsidRDefault="000021C4" w:rsidP="006F0E65">
      <w:pPr>
        <w:rPr>
          <w:rFonts w:ascii="新宋体" w:eastAsia="新宋体" w:hAnsi="新宋体"/>
          <w:sz w:val="24"/>
          <w:szCs w:val="24"/>
          <w:lang w:eastAsia="zh-CN"/>
        </w:rPr>
      </w:pPr>
      <w:r>
        <w:rPr>
          <w:rFonts w:ascii="新宋体" w:eastAsia="新宋体" w:hAnsi="新宋体" w:hint="eastAsia"/>
          <w:b/>
          <w:sz w:val="24"/>
          <w:szCs w:val="24"/>
          <w:lang w:eastAsia="zh-CN"/>
        </w:rPr>
        <w:t>5</w:t>
      </w:r>
      <w:r w:rsidR="006F0E65"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、甲方责任：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①保证上述房屋权属清楚；②不干预乙方正常办公经营活动；③定期检查、维护、巡视房屋及配置设施，保持正常状态；④告知配置设施使用方法和注意事项；⑤维护办公环境和秩序；⑥门厅物业前台统一受理租户物业方面事宜。</w:t>
      </w:r>
    </w:p>
    <w:p w:rsidR="006F0E65" w:rsidRPr="00756591" w:rsidRDefault="000021C4" w:rsidP="006F0E65">
      <w:pPr>
        <w:rPr>
          <w:rFonts w:ascii="新宋体" w:eastAsia="新宋体" w:hAnsi="新宋体"/>
          <w:sz w:val="24"/>
          <w:szCs w:val="24"/>
          <w:lang w:eastAsia="zh-CN"/>
        </w:rPr>
      </w:pPr>
      <w:r>
        <w:rPr>
          <w:rFonts w:ascii="新宋体" w:eastAsia="新宋体" w:hAnsi="新宋体" w:hint="eastAsia"/>
          <w:b/>
          <w:sz w:val="24"/>
          <w:szCs w:val="24"/>
          <w:lang w:eastAsia="zh-CN"/>
        </w:rPr>
        <w:t>6</w:t>
      </w:r>
      <w:r w:rsidR="006F0E65"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、乙方责任：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①不得私自改变房屋结构；②不得人为损坏屋内设施；③不得利用房屋进行违法违纪活动；④不得损坏公物、公益、占用消防和公共通道⑤不得擅自改变租房用途或将房屋租给第三方；⑥不得存放违禁物品、易燃、易爆物品及危险品；⑦不得将自行车、电瓶车、摩托车存放在大楼内；学习消防安全知识，会使用消防器材。</w:t>
      </w:r>
    </w:p>
    <w:p w:rsidR="006F0E65" w:rsidRPr="00756591" w:rsidRDefault="000021C4" w:rsidP="006F0E65">
      <w:pPr>
        <w:rPr>
          <w:rFonts w:ascii="新宋体" w:eastAsia="新宋体" w:hAnsi="新宋体"/>
          <w:sz w:val="24"/>
          <w:szCs w:val="24"/>
          <w:lang w:eastAsia="zh-CN"/>
        </w:rPr>
      </w:pPr>
      <w:r>
        <w:rPr>
          <w:rFonts w:ascii="新宋体" w:eastAsia="新宋体" w:hAnsi="新宋体" w:hint="eastAsia"/>
          <w:b/>
          <w:sz w:val="24"/>
          <w:szCs w:val="24"/>
          <w:lang w:eastAsia="zh-CN"/>
        </w:rPr>
        <w:t>7</w:t>
      </w:r>
      <w:r w:rsidR="006F0E65"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、装修：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乙方对承租区域进行的装修应符合国家相关法律、法规及行业规范的要求，应提前向甲方提供内部装修设计施工图，对承租区域的主要结构及装置进行任何改动、改变或调整，应先征得甲方同意批准后方可施工。</w:t>
      </w:r>
      <w:r w:rsidR="002673A4">
        <w:rPr>
          <w:rFonts w:ascii="新宋体" w:eastAsia="新宋体" w:hAnsi="新宋体" w:hint="eastAsia"/>
          <w:sz w:val="24"/>
          <w:szCs w:val="24"/>
          <w:lang w:eastAsia="zh-CN"/>
        </w:rPr>
        <w:t>二楼以上包括二楼不设广告位，底楼商铺设广告位须经甲方同意，空调外机安装在甲方指定位置。</w:t>
      </w:r>
    </w:p>
    <w:p w:rsidR="006F0E65" w:rsidRPr="00756591" w:rsidRDefault="000021C4" w:rsidP="006F0E65">
      <w:pPr>
        <w:rPr>
          <w:rFonts w:ascii="新宋体" w:eastAsia="新宋体" w:hAnsi="新宋体"/>
          <w:sz w:val="24"/>
          <w:szCs w:val="24"/>
          <w:lang w:eastAsia="zh-CN"/>
        </w:rPr>
      </w:pPr>
      <w:r>
        <w:rPr>
          <w:rFonts w:ascii="新宋体" w:eastAsia="新宋体" w:hAnsi="新宋体" w:hint="eastAsia"/>
          <w:b/>
          <w:sz w:val="24"/>
          <w:szCs w:val="24"/>
          <w:lang w:eastAsia="zh-CN"/>
        </w:rPr>
        <w:t>8</w:t>
      </w:r>
      <w:r w:rsidR="006F0E65"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、期满处理：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租赁期满，甲方有权收回出租的房屋，如收回应在届期满前40天通知乙方，乙方应在租期满日或之前，将房屋设备完好状态交还甲方；乙方如需要续租，应在本合同租期届满前40</w:t>
      </w:r>
      <w:r w:rsidR="00C921B2">
        <w:rPr>
          <w:rFonts w:ascii="新宋体" w:eastAsia="新宋体" w:hAnsi="新宋体" w:hint="eastAsia"/>
          <w:sz w:val="24"/>
          <w:szCs w:val="24"/>
          <w:lang w:eastAsia="zh-CN"/>
        </w:rPr>
        <w:t>天向甲方提出书面申请，本着同等条件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优先承租</w:t>
      </w:r>
      <w:r w:rsidR="00C921B2">
        <w:rPr>
          <w:rFonts w:ascii="新宋体" w:eastAsia="新宋体" w:hAnsi="新宋体" w:hint="eastAsia"/>
          <w:sz w:val="24"/>
          <w:szCs w:val="24"/>
          <w:lang w:eastAsia="zh-CN"/>
        </w:rPr>
        <w:t>的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原则</w:t>
      </w:r>
      <w:r w:rsidR="00C921B2">
        <w:rPr>
          <w:rFonts w:ascii="新宋体" w:eastAsia="新宋体" w:hAnsi="新宋体" w:hint="eastAsia"/>
          <w:sz w:val="24"/>
          <w:szCs w:val="24"/>
          <w:lang w:eastAsia="zh-CN"/>
        </w:rPr>
        <w:t>，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经双方协商后，另行</w:t>
      </w:r>
      <w:proofErr w:type="gramStart"/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签定</w:t>
      </w:r>
      <w:proofErr w:type="gramEnd"/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租赁合同。</w:t>
      </w:r>
    </w:p>
    <w:p w:rsidR="006F0E65" w:rsidRPr="00756591" w:rsidRDefault="000021C4" w:rsidP="006F0E65">
      <w:pPr>
        <w:rPr>
          <w:rFonts w:ascii="新宋体" w:eastAsia="新宋体" w:hAnsi="新宋体"/>
          <w:sz w:val="24"/>
          <w:szCs w:val="24"/>
          <w:lang w:eastAsia="zh-CN"/>
        </w:rPr>
      </w:pPr>
      <w:r>
        <w:rPr>
          <w:rFonts w:ascii="新宋体" w:eastAsia="新宋体" w:hAnsi="新宋体" w:hint="eastAsia"/>
          <w:b/>
          <w:sz w:val="24"/>
          <w:szCs w:val="24"/>
          <w:lang w:eastAsia="zh-CN"/>
        </w:rPr>
        <w:t>9</w:t>
      </w:r>
      <w:r w:rsidR="006F0E65"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、合同终止：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乙方应将自己的物品及时搬走，逾期5日不搬，视为乙方放弃物品所属权，甲方有权自行处理。</w:t>
      </w:r>
    </w:p>
    <w:p w:rsidR="006F0E65" w:rsidRPr="00756591" w:rsidRDefault="000021C4" w:rsidP="006F0E65">
      <w:pPr>
        <w:rPr>
          <w:rFonts w:ascii="新宋体" w:eastAsia="新宋体" w:hAnsi="新宋体"/>
          <w:sz w:val="24"/>
          <w:szCs w:val="24"/>
          <w:lang w:eastAsia="zh-CN"/>
        </w:rPr>
      </w:pPr>
      <w:r>
        <w:rPr>
          <w:rFonts w:ascii="新宋体" w:eastAsia="新宋体" w:hAnsi="新宋体" w:hint="eastAsia"/>
          <w:b/>
          <w:sz w:val="24"/>
          <w:szCs w:val="24"/>
          <w:lang w:eastAsia="zh-CN"/>
        </w:rPr>
        <w:t>10</w:t>
      </w:r>
      <w:r w:rsidR="006F0E65"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、违约责任：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甲乙双方如发现违反上述合同条款的行为，需经双方友好协商解决，如违约方坚持不改，另一方有权解除本合同，租金按照实际使用的时间计算，不足整月的按天计算，多退少补，造成损失的违约方承担。</w:t>
      </w:r>
      <w:r w:rsidR="002673A4">
        <w:rPr>
          <w:rFonts w:ascii="新宋体" w:eastAsia="新宋体" w:hAnsi="新宋体" w:hint="eastAsia"/>
          <w:sz w:val="24"/>
          <w:szCs w:val="24"/>
          <w:lang w:eastAsia="zh-CN"/>
        </w:rPr>
        <w:t>乙方提前解除合同，视为违约，押金不退。</w:t>
      </w:r>
    </w:p>
    <w:p w:rsidR="006F0E65" w:rsidRPr="00756591" w:rsidRDefault="000021C4" w:rsidP="006F0E65">
      <w:pPr>
        <w:rPr>
          <w:rFonts w:ascii="新宋体" w:eastAsia="新宋体" w:hAnsi="新宋体"/>
          <w:sz w:val="24"/>
          <w:szCs w:val="24"/>
          <w:lang w:eastAsia="zh-CN"/>
        </w:rPr>
      </w:pPr>
      <w:r>
        <w:rPr>
          <w:rFonts w:ascii="新宋体" w:eastAsia="新宋体" w:hAnsi="新宋体" w:hint="eastAsia"/>
          <w:b/>
          <w:sz w:val="24"/>
          <w:szCs w:val="24"/>
          <w:lang w:eastAsia="zh-CN"/>
        </w:rPr>
        <w:t>11</w:t>
      </w:r>
      <w:r w:rsidR="006F0E65" w:rsidRPr="00756591">
        <w:rPr>
          <w:rFonts w:ascii="新宋体" w:eastAsia="新宋体" w:hAnsi="新宋体" w:hint="eastAsia"/>
          <w:b/>
          <w:sz w:val="24"/>
          <w:szCs w:val="24"/>
          <w:lang w:eastAsia="zh-CN"/>
        </w:rPr>
        <w:t>、免责条款：</w:t>
      </w:r>
      <w:r w:rsidR="006F0E65" w:rsidRPr="00756591">
        <w:rPr>
          <w:rFonts w:ascii="新宋体" w:eastAsia="新宋体" w:hAnsi="新宋体" w:hint="eastAsia"/>
          <w:sz w:val="24"/>
          <w:szCs w:val="24"/>
          <w:lang w:eastAsia="zh-CN"/>
        </w:rPr>
        <w:t>因自然灾害、政府行为或社会异常现象造成一方不能履行本合同所规定的条款，该方应在事发后15天内书面通知对方，双方应尽其最大可能地减少损失，不视作违约责任。</w:t>
      </w: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>本合同未尽事宜，经甲、乙双方协商一致，可订立补充条款，与本合同具有同等法律效力。 本合同一式贰份，甲、乙双方各执一份，房屋租赁期满后，本合同自然终止。</w:t>
      </w: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</w:rPr>
      </w:pPr>
      <w:proofErr w:type="spellStart"/>
      <w:r w:rsidRPr="00756591">
        <w:rPr>
          <w:rFonts w:ascii="新宋体" w:eastAsia="新宋体" w:hAnsi="新宋体" w:hint="eastAsia"/>
          <w:sz w:val="24"/>
          <w:szCs w:val="24"/>
        </w:rPr>
        <w:t>出租方（甲方</w:t>
      </w:r>
      <w:proofErr w:type="spellEnd"/>
      <w:r w:rsidRPr="00756591">
        <w:rPr>
          <w:rFonts w:ascii="新宋体" w:eastAsia="新宋体" w:hAnsi="新宋体" w:hint="eastAsia"/>
          <w:sz w:val="24"/>
          <w:szCs w:val="24"/>
        </w:rPr>
        <w:t xml:space="preserve">）：                              </w:t>
      </w:r>
      <w:proofErr w:type="spellStart"/>
      <w:r w:rsidRPr="00756591">
        <w:rPr>
          <w:rFonts w:ascii="新宋体" w:eastAsia="新宋体" w:hAnsi="新宋体" w:hint="eastAsia"/>
          <w:sz w:val="24"/>
          <w:szCs w:val="24"/>
        </w:rPr>
        <w:t>承租方（乙方</w:t>
      </w:r>
      <w:proofErr w:type="spellEnd"/>
      <w:r w:rsidRPr="00756591">
        <w:rPr>
          <w:rFonts w:ascii="新宋体" w:eastAsia="新宋体" w:hAnsi="新宋体" w:hint="eastAsia"/>
          <w:sz w:val="24"/>
          <w:szCs w:val="24"/>
        </w:rPr>
        <w:t>）：</w:t>
      </w: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 xml:space="preserve">代表人签字盖章：                              代表人签字盖章：                             </w:t>
      </w:r>
    </w:p>
    <w:p w:rsidR="006F0E65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 xml:space="preserve">手机：                                        手机：                                         </w:t>
      </w:r>
    </w:p>
    <w:p w:rsidR="008A1562" w:rsidRPr="00756591" w:rsidRDefault="006F0E65" w:rsidP="006F0E65">
      <w:pPr>
        <w:rPr>
          <w:rFonts w:ascii="新宋体" w:eastAsia="新宋体" w:hAnsi="新宋体"/>
          <w:sz w:val="24"/>
          <w:szCs w:val="24"/>
          <w:lang w:eastAsia="zh-CN"/>
        </w:rPr>
      </w:pPr>
      <w:r w:rsidRPr="00756591">
        <w:rPr>
          <w:rFonts w:ascii="新宋体" w:eastAsia="新宋体" w:hAnsi="新宋体" w:hint="eastAsia"/>
          <w:sz w:val="24"/>
          <w:szCs w:val="24"/>
          <w:lang w:eastAsia="zh-CN"/>
        </w:rPr>
        <w:t xml:space="preserve">签约日期：       年   月    日                签约日期：      年    月    日            </w:t>
      </w:r>
    </w:p>
    <w:sectPr w:rsidR="008A1562" w:rsidRPr="00756591" w:rsidSect="006F0E65">
      <w:pgSz w:w="11906" w:h="16838"/>
      <w:pgMar w:top="306" w:right="663" w:bottom="306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5B" w:rsidRDefault="002A125B" w:rsidP="006F0E65">
      <w:r>
        <w:separator/>
      </w:r>
    </w:p>
  </w:endnote>
  <w:endnote w:type="continuationSeparator" w:id="0">
    <w:p w:rsidR="002A125B" w:rsidRDefault="002A125B" w:rsidP="006F0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5B" w:rsidRDefault="002A125B" w:rsidP="006F0E65">
      <w:r>
        <w:separator/>
      </w:r>
    </w:p>
  </w:footnote>
  <w:footnote w:type="continuationSeparator" w:id="0">
    <w:p w:rsidR="002A125B" w:rsidRDefault="002A125B" w:rsidP="006F0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E65"/>
    <w:rsid w:val="00001B4F"/>
    <w:rsid w:val="000021C4"/>
    <w:rsid w:val="00015324"/>
    <w:rsid w:val="000862B0"/>
    <w:rsid w:val="00181736"/>
    <w:rsid w:val="001D09ED"/>
    <w:rsid w:val="00201461"/>
    <w:rsid w:val="00256515"/>
    <w:rsid w:val="002673A4"/>
    <w:rsid w:val="002A125B"/>
    <w:rsid w:val="002D02EE"/>
    <w:rsid w:val="0032639A"/>
    <w:rsid w:val="00452094"/>
    <w:rsid w:val="004528D0"/>
    <w:rsid w:val="0048433A"/>
    <w:rsid w:val="004913AD"/>
    <w:rsid w:val="00503A99"/>
    <w:rsid w:val="005C6289"/>
    <w:rsid w:val="006942D5"/>
    <w:rsid w:val="006F0E65"/>
    <w:rsid w:val="00756591"/>
    <w:rsid w:val="00816C09"/>
    <w:rsid w:val="008B71A3"/>
    <w:rsid w:val="00934296"/>
    <w:rsid w:val="009452A0"/>
    <w:rsid w:val="0097449F"/>
    <w:rsid w:val="009915B2"/>
    <w:rsid w:val="00AC0868"/>
    <w:rsid w:val="00C921B2"/>
    <w:rsid w:val="00D95C4D"/>
    <w:rsid w:val="00E12891"/>
    <w:rsid w:val="00FC145C"/>
    <w:rsid w:val="00FE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91"/>
  </w:style>
  <w:style w:type="paragraph" w:styleId="1">
    <w:name w:val="heading 1"/>
    <w:basedOn w:val="a"/>
    <w:next w:val="a"/>
    <w:link w:val="1Char"/>
    <w:uiPriority w:val="9"/>
    <w:qFormat/>
    <w:rsid w:val="00E12891"/>
    <w:pPr>
      <w:pBdr>
        <w:bottom w:val="single" w:sz="12" w:space="1" w:color="6C620F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6C620F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2891"/>
    <w:pPr>
      <w:pBdr>
        <w:bottom w:val="single" w:sz="8" w:space="1" w:color="91841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6C620F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2891"/>
    <w:pPr>
      <w:pBdr>
        <w:bottom w:val="single" w:sz="4" w:space="1" w:color="E4D44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18415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2891"/>
    <w:pPr>
      <w:pBdr>
        <w:bottom w:val="single" w:sz="4" w:space="2" w:color="EDE28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18415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289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18415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289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18415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289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FB591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289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FB591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289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FB59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2891"/>
    <w:rPr>
      <w:rFonts w:asciiTheme="majorHAnsi" w:eastAsiaTheme="majorEastAsia" w:hAnsiTheme="majorHAnsi" w:cstheme="majorBidi"/>
      <w:b/>
      <w:bCs/>
      <w:color w:val="6C620F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E12891"/>
    <w:rPr>
      <w:rFonts w:asciiTheme="majorHAnsi" w:eastAsiaTheme="majorEastAsia" w:hAnsiTheme="majorHAnsi" w:cstheme="majorBidi"/>
      <w:color w:val="6C620F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12891"/>
    <w:rPr>
      <w:rFonts w:asciiTheme="majorHAnsi" w:eastAsiaTheme="majorEastAsia" w:hAnsiTheme="majorHAnsi" w:cstheme="majorBidi"/>
      <w:color w:val="918415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E12891"/>
    <w:rPr>
      <w:rFonts w:asciiTheme="majorHAnsi" w:eastAsiaTheme="majorEastAsia" w:hAnsiTheme="majorHAnsi" w:cstheme="majorBidi"/>
      <w:i/>
      <w:iCs/>
      <w:color w:val="918415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E12891"/>
    <w:rPr>
      <w:rFonts w:asciiTheme="majorHAnsi" w:eastAsiaTheme="majorEastAsia" w:hAnsiTheme="majorHAnsi" w:cstheme="majorBidi"/>
      <w:color w:val="918415" w:themeColor="accent1"/>
    </w:rPr>
  </w:style>
  <w:style w:type="character" w:customStyle="1" w:styleId="6Char">
    <w:name w:val="标题 6 Char"/>
    <w:basedOn w:val="a0"/>
    <w:link w:val="6"/>
    <w:uiPriority w:val="9"/>
    <w:semiHidden/>
    <w:rsid w:val="00E12891"/>
    <w:rPr>
      <w:rFonts w:asciiTheme="majorHAnsi" w:eastAsiaTheme="majorEastAsia" w:hAnsiTheme="majorHAnsi" w:cstheme="majorBidi"/>
      <w:i/>
      <w:iCs/>
      <w:color w:val="918415" w:themeColor="accent1"/>
    </w:rPr>
  </w:style>
  <w:style w:type="character" w:customStyle="1" w:styleId="7Char">
    <w:name w:val="标题 7 Char"/>
    <w:basedOn w:val="a0"/>
    <w:link w:val="7"/>
    <w:uiPriority w:val="9"/>
    <w:semiHidden/>
    <w:rsid w:val="00E12891"/>
    <w:rPr>
      <w:rFonts w:asciiTheme="majorHAnsi" w:eastAsiaTheme="majorEastAsia" w:hAnsiTheme="majorHAnsi" w:cstheme="majorBidi"/>
      <w:b/>
      <w:bCs/>
      <w:color w:val="AFB591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E12891"/>
    <w:rPr>
      <w:rFonts w:asciiTheme="majorHAnsi" w:eastAsiaTheme="majorEastAsia" w:hAnsiTheme="majorHAnsi" w:cstheme="majorBidi"/>
      <w:b/>
      <w:bCs/>
      <w:i/>
      <w:iCs/>
      <w:color w:val="AFB591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E12891"/>
    <w:rPr>
      <w:rFonts w:asciiTheme="majorHAnsi" w:eastAsiaTheme="majorEastAsia" w:hAnsiTheme="majorHAnsi" w:cstheme="majorBidi"/>
      <w:i/>
      <w:iCs/>
      <w:color w:val="AFB59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2891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12891"/>
    <w:pPr>
      <w:pBdr>
        <w:top w:val="single" w:sz="8" w:space="10" w:color="E9DB69" w:themeColor="accent1" w:themeTint="7F"/>
        <w:bottom w:val="single" w:sz="24" w:space="15" w:color="AFB59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48410A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E12891"/>
    <w:rPr>
      <w:rFonts w:asciiTheme="majorHAnsi" w:eastAsiaTheme="majorEastAsia" w:hAnsiTheme="majorHAnsi" w:cstheme="majorBidi"/>
      <w:i/>
      <w:iCs/>
      <w:color w:val="48410A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E1289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12891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E12891"/>
    <w:rPr>
      <w:b/>
      <w:bCs/>
      <w:spacing w:val="0"/>
    </w:rPr>
  </w:style>
  <w:style w:type="character" w:styleId="a7">
    <w:name w:val="Emphasis"/>
    <w:uiPriority w:val="20"/>
    <w:qFormat/>
    <w:rsid w:val="00E128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E12891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E12891"/>
  </w:style>
  <w:style w:type="paragraph" w:styleId="a9">
    <w:name w:val="List Paragraph"/>
    <w:basedOn w:val="a"/>
    <w:uiPriority w:val="34"/>
    <w:qFormat/>
    <w:rsid w:val="00E12891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E128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E128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E12891"/>
    <w:pPr>
      <w:pBdr>
        <w:top w:val="single" w:sz="12" w:space="10" w:color="EDE286" w:themeColor="accent1" w:themeTint="66"/>
        <w:left w:val="single" w:sz="36" w:space="4" w:color="918415" w:themeColor="accent1"/>
        <w:bottom w:val="single" w:sz="24" w:space="10" w:color="AFB591" w:themeColor="accent3"/>
        <w:right w:val="single" w:sz="36" w:space="4" w:color="918415" w:themeColor="accent1"/>
      </w:pBdr>
      <w:shd w:val="clear" w:color="auto" w:fill="91841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E128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18415" w:themeFill="accent1"/>
    </w:rPr>
  </w:style>
  <w:style w:type="character" w:styleId="ac">
    <w:name w:val="Subtle Emphasis"/>
    <w:uiPriority w:val="19"/>
    <w:qFormat/>
    <w:rsid w:val="00E128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E12891"/>
    <w:rPr>
      <w:b/>
      <w:bCs/>
      <w:i/>
      <w:iCs/>
      <w:color w:val="918415" w:themeColor="accent1"/>
      <w:sz w:val="22"/>
      <w:szCs w:val="22"/>
    </w:rPr>
  </w:style>
  <w:style w:type="character" w:styleId="ae">
    <w:name w:val="Subtle Reference"/>
    <w:uiPriority w:val="31"/>
    <w:qFormat/>
    <w:rsid w:val="00E12891"/>
    <w:rPr>
      <w:color w:val="auto"/>
      <w:u w:val="single" w:color="AFB591" w:themeColor="accent3"/>
    </w:rPr>
  </w:style>
  <w:style w:type="character" w:styleId="af">
    <w:name w:val="Intense Reference"/>
    <w:basedOn w:val="a0"/>
    <w:uiPriority w:val="32"/>
    <w:qFormat/>
    <w:rsid w:val="00E12891"/>
    <w:rPr>
      <w:b/>
      <w:bCs/>
      <w:color w:val="899162" w:themeColor="accent3" w:themeShade="BF"/>
      <w:u w:val="single" w:color="AFB591" w:themeColor="accent3"/>
    </w:rPr>
  </w:style>
  <w:style w:type="character" w:styleId="af0">
    <w:name w:val="Book Title"/>
    <w:basedOn w:val="a0"/>
    <w:uiPriority w:val="33"/>
    <w:qFormat/>
    <w:rsid w:val="00E128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E12891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6F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6F0E65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6F0E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6F0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扑面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>MS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5</cp:revision>
  <cp:lastPrinted>2018-04-23T03:11:00Z</cp:lastPrinted>
  <dcterms:created xsi:type="dcterms:W3CDTF">2018-03-27T07:52:00Z</dcterms:created>
  <dcterms:modified xsi:type="dcterms:W3CDTF">2018-04-23T03:11:00Z</dcterms:modified>
</cp:coreProperties>
</file>